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B8DC" w14:textId="77777777" w:rsidR="000C29A6" w:rsidRDefault="00BD4BFD">
      <w:pPr>
        <w:spacing w:after="0" w:line="259" w:lineRule="auto"/>
        <w:ind w:left="-5" w:firstLine="0"/>
        <w:jc w:val="left"/>
      </w:pPr>
      <w:r w:rsidRPr="006E4B34">
        <w:rPr>
          <w:noProof/>
        </w:rPr>
        <w:drawing>
          <wp:inline distT="0" distB="0" distL="0" distR="0" wp14:anchorId="70DED923" wp14:editId="303D096E">
            <wp:extent cx="1751382" cy="946150"/>
            <wp:effectExtent l="0" t="0" r="1270" b="6350"/>
            <wp:docPr id="3" name="Image 3" descr="Z:\0-Interne DAF\CHARTE_GRAPHIQUE_UBFC\LogoUBFC\logo UBFC_coul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-Interne DAF\CHARTE_GRAPHIQUE_UBFC\LogoUBFC\logo UBFC_couleu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351" cy="95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E8665" w14:textId="77777777" w:rsidR="00BD4BFD" w:rsidRPr="00F66ACE" w:rsidRDefault="00BD4BFD" w:rsidP="00BD4BFD">
      <w:pPr>
        <w:rPr>
          <w:rFonts w:cs="Arial"/>
          <w:szCs w:val="20"/>
        </w:rPr>
      </w:pPr>
      <w:r>
        <w:rPr>
          <w:rFonts w:cs="Arial"/>
          <w:szCs w:val="20"/>
        </w:rPr>
        <w:t>D</w:t>
      </w:r>
      <w:r w:rsidRPr="00F66ACE">
        <w:rPr>
          <w:rFonts w:cs="Arial"/>
          <w:szCs w:val="20"/>
        </w:rPr>
        <w:t>irection des Affaires Financières</w:t>
      </w:r>
    </w:p>
    <w:p w14:paraId="6FC6AC8D" w14:textId="77777777" w:rsidR="00BD4BFD" w:rsidRPr="00F66ACE" w:rsidRDefault="00BD4BFD" w:rsidP="00BD4BFD">
      <w:pPr>
        <w:rPr>
          <w:rFonts w:cs="Arial"/>
          <w:szCs w:val="20"/>
        </w:rPr>
      </w:pPr>
      <w:r w:rsidRPr="00F66ACE">
        <w:rPr>
          <w:rFonts w:cs="Arial"/>
          <w:szCs w:val="20"/>
        </w:rPr>
        <w:t>32 avenue de l’observatoire</w:t>
      </w:r>
    </w:p>
    <w:p w14:paraId="33D69196" w14:textId="77777777" w:rsidR="00BD4BFD" w:rsidRPr="00F66ACE" w:rsidRDefault="00BD4BFD" w:rsidP="00BD4BFD">
      <w:pPr>
        <w:rPr>
          <w:rFonts w:cs="Arial"/>
          <w:szCs w:val="20"/>
        </w:rPr>
      </w:pPr>
      <w:r w:rsidRPr="00F66ACE">
        <w:rPr>
          <w:rFonts w:cs="Arial"/>
          <w:szCs w:val="20"/>
        </w:rPr>
        <w:t>25000 Besançon</w:t>
      </w:r>
    </w:p>
    <w:p w14:paraId="499C04C7" w14:textId="77777777" w:rsidR="00BD4BFD" w:rsidRPr="00F66ACE" w:rsidRDefault="00BD4BFD" w:rsidP="00BD4BFD">
      <w:pPr>
        <w:rPr>
          <w:rFonts w:cs="Arial"/>
          <w:szCs w:val="20"/>
        </w:rPr>
      </w:pPr>
      <w:r w:rsidRPr="00F66ACE">
        <w:rPr>
          <w:rFonts w:cs="Arial"/>
          <w:szCs w:val="20"/>
        </w:rPr>
        <w:t>France</w:t>
      </w:r>
    </w:p>
    <w:p w14:paraId="0170259B" w14:textId="77777777" w:rsidR="00BD4BFD" w:rsidRPr="00F66ACE" w:rsidRDefault="00E66BE2" w:rsidP="00BD4BFD">
      <w:pPr>
        <w:rPr>
          <w:rFonts w:cs="Arial"/>
          <w:szCs w:val="20"/>
        </w:rPr>
      </w:pPr>
      <w:hyperlink r:id="rId8" w:history="1">
        <w:r w:rsidR="00BD4BFD" w:rsidRPr="00F66ACE">
          <w:rPr>
            <w:rStyle w:val="Lienhypertexte"/>
            <w:rFonts w:cs="Arial"/>
            <w:szCs w:val="20"/>
          </w:rPr>
          <w:t>https://www.ubfc.fr/</w:t>
        </w:r>
      </w:hyperlink>
    </w:p>
    <w:p w14:paraId="465F6095" w14:textId="77777777" w:rsidR="000C29A6" w:rsidRDefault="000C29A6">
      <w:pPr>
        <w:spacing w:after="0" w:line="259" w:lineRule="auto"/>
        <w:ind w:left="0" w:firstLine="0"/>
        <w:jc w:val="left"/>
      </w:pPr>
    </w:p>
    <w:p w14:paraId="54091396" w14:textId="77777777" w:rsidR="00BD4BFD" w:rsidRDefault="00BD4BFD">
      <w:pPr>
        <w:spacing w:after="0" w:line="259" w:lineRule="auto"/>
        <w:ind w:left="0" w:firstLine="0"/>
        <w:jc w:val="left"/>
      </w:pPr>
    </w:p>
    <w:p w14:paraId="7B415687" w14:textId="77777777" w:rsidR="000C29A6" w:rsidRPr="00301230" w:rsidRDefault="000E61B7">
      <w:pPr>
        <w:tabs>
          <w:tab w:val="center" w:pos="5419"/>
        </w:tabs>
        <w:ind w:left="-15" w:firstLine="0"/>
        <w:jc w:val="left"/>
      </w:pPr>
      <w:r w:rsidRPr="00301230">
        <w:t>Affaire suivie par :</w:t>
      </w:r>
      <w:r w:rsidR="00BD4BFD" w:rsidRPr="00301230">
        <w:t xml:space="preserve"> </w:t>
      </w:r>
    </w:p>
    <w:p w14:paraId="14A16E9C" w14:textId="77777777" w:rsidR="00CA59ED" w:rsidRPr="00301230" w:rsidRDefault="000E61B7" w:rsidP="00CA59ED">
      <w:pPr>
        <w:spacing w:after="0" w:line="259" w:lineRule="auto"/>
        <w:ind w:left="0" w:firstLine="0"/>
        <w:jc w:val="left"/>
        <w:rPr>
          <w:color w:val="0563C1"/>
          <w:u w:val="single" w:color="0563C1"/>
        </w:rPr>
      </w:pPr>
      <w:r w:rsidRPr="00301230">
        <w:t xml:space="preserve">Courriel : </w:t>
      </w:r>
    </w:p>
    <w:p w14:paraId="101D0A00" w14:textId="77777777" w:rsidR="000C29A6" w:rsidRPr="00301230" w:rsidRDefault="00CA59ED" w:rsidP="00CA59ED">
      <w:pPr>
        <w:spacing w:after="0" w:line="259" w:lineRule="auto"/>
        <w:ind w:left="0" w:firstLine="0"/>
        <w:jc w:val="left"/>
      </w:pPr>
      <w:r w:rsidRPr="00301230">
        <w:t xml:space="preserve">Téléphone : </w:t>
      </w:r>
    </w:p>
    <w:p w14:paraId="451565BC" w14:textId="77777777" w:rsidR="000C29A6" w:rsidRPr="00301230" w:rsidRDefault="000C29A6">
      <w:pPr>
        <w:spacing w:after="0" w:line="259" w:lineRule="auto"/>
        <w:ind w:left="0" w:firstLine="0"/>
        <w:jc w:val="left"/>
      </w:pPr>
    </w:p>
    <w:p w14:paraId="60ECBEED" w14:textId="77777777" w:rsidR="000C29A6" w:rsidRPr="00301230" w:rsidRDefault="000C29A6">
      <w:pPr>
        <w:spacing w:after="0" w:line="259" w:lineRule="auto"/>
        <w:ind w:left="0" w:firstLine="0"/>
        <w:jc w:val="left"/>
      </w:pPr>
    </w:p>
    <w:p w14:paraId="75657DEF" w14:textId="77777777" w:rsidR="000C29A6" w:rsidRPr="00301230" w:rsidRDefault="00BD4BFD">
      <w:pPr>
        <w:ind w:left="-5" w:right="33"/>
      </w:pPr>
      <w:r w:rsidRPr="00301230">
        <w:t>Ville</w:t>
      </w:r>
      <w:r w:rsidR="000E61B7" w:rsidRPr="00301230">
        <w:t xml:space="preserve">, </w:t>
      </w:r>
    </w:p>
    <w:p w14:paraId="519D32FC" w14:textId="77777777" w:rsidR="000C29A6" w:rsidRDefault="00CA59ED">
      <w:pPr>
        <w:ind w:left="-5" w:right="33"/>
      </w:pPr>
      <w:r w:rsidRPr="00301230">
        <w:t>Le</w:t>
      </w:r>
      <w:r>
        <w:t xml:space="preserve"> </w:t>
      </w:r>
    </w:p>
    <w:p w14:paraId="16B9BC73" w14:textId="77777777" w:rsidR="000C29A6" w:rsidRDefault="000C29A6">
      <w:pPr>
        <w:spacing w:after="0" w:line="259" w:lineRule="auto"/>
        <w:ind w:left="0" w:firstLine="0"/>
        <w:jc w:val="left"/>
      </w:pPr>
    </w:p>
    <w:p w14:paraId="6E7F4584" w14:textId="77777777" w:rsidR="000C29A6" w:rsidRPr="00BD4BFD" w:rsidRDefault="000E61B7" w:rsidP="00BD4BFD">
      <w:pPr>
        <w:jc w:val="center"/>
        <w:rPr>
          <w:b/>
        </w:rPr>
      </w:pPr>
      <w:r w:rsidRPr="00BD4BFD">
        <w:rPr>
          <w:b/>
        </w:rPr>
        <w:t>EVALUATION DU POTENTIEL DE VALORISATION</w:t>
      </w:r>
    </w:p>
    <w:p w14:paraId="239ACC92" w14:textId="77777777" w:rsidR="000C29A6" w:rsidRDefault="000C29A6">
      <w:pPr>
        <w:spacing w:after="0" w:line="259" w:lineRule="auto"/>
        <w:ind w:left="0" w:firstLine="0"/>
        <w:jc w:val="left"/>
      </w:pPr>
    </w:p>
    <w:p w14:paraId="04A6BB02" w14:textId="77777777" w:rsidR="000C29A6" w:rsidRDefault="000E61B7">
      <w:pPr>
        <w:ind w:left="-5" w:right="33"/>
      </w:pPr>
      <w:r>
        <w:t xml:space="preserve">La valorisation désigne la façon dont les connaissances produites par la recherche publique sont utilisées par les entreprises – ou les chercheurs eux-mêmes – afin de produire de la valeur économique et sociale (Rapport Cours des Comptes, mars 2018, p.9). </w:t>
      </w:r>
    </w:p>
    <w:p w14:paraId="0B60F786" w14:textId="77777777" w:rsidR="000C29A6" w:rsidRDefault="000C29A6">
      <w:pPr>
        <w:spacing w:after="0" w:line="259" w:lineRule="auto"/>
        <w:ind w:left="0" w:firstLine="0"/>
        <w:jc w:val="left"/>
      </w:pPr>
    </w:p>
    <w:p w14:paraId="22048136" w14:textId="77777777" w:rsidR="000C29A6" w:rsidRPr="00AC5F9D" w:rsidRDefault="000E61B7" w:rsidP="00AC5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AC5F9D">
        <w:rPr>
          <w:b/>
          <w:i/>
          <w:highlight w:val="green"/>
        </w:rPr>
        <w:t>QUELQUES ELEMENTS PERMETTANT LA CARACTERISATION D’UN PROJET VALORISABLE</w:t>
      </w:r>
    </w:p>
    <w:p w14:paraId="21DDAA91" w14:textId="77777777" w:rsidR="000C29A6" w:rsidRDefault="000C29A6">
      <w:pPr>
        <w:spacing w:after="0" w:line="259" w:lineRule="auto"/>
        <w:ind w:left="0" w:firstLine="0"/>
        <w:jc w:val="left"/>
      </w:pPr>
    </w:p>
    <w:p w14:paraId="4FE54E1F" w14:textId="77777777" w:rsidR="000C29A6" w:rsidRDefault="000C29A6">
      <w:pPr>
        <w:spacing w:line="259" w:lineRule="auto"/>
        <w:ind w:left="0" w:firstLine="0"/>
        <w:jc w:val="left"/>
      </w:pPr>
    </w:p>
    <w:p w14:paraId="2AF2E61C" w14:textId="77777777" w:rsidR="00CA59ED" w:rsidRPr="0034211A" w:rsidRDefault="000E61B7" w:rsidP="00BD4BFD">
      <w:pPr>
        <w:rPr>
          <w:b/>
          <w:u w:val="single"/>
        </w:rPr>
      </w:pPr>
      <w:r w:rsidRPr="0034211A">
        <w:rPr>
          <w:b/>
          <w:u w:val="single"/>
        </w:rPr>
        <w:t>Catégorie de recherche</w:t>
      </w:r>
      <w:r w:rsidR="00A60330">
        <w:rPr>
          <w:b/>
          <w:u w:val="single"/>
        </w:rPr>
        <w:t> :</w:t>
      </w:r>
    </w:p>
    <w:p w14:paraId="43729AC3" w14:textId="77777777" w:rsidR="000C29A6" w:rsidRDefault="000E61B7" w:rsidP="00CA59ED">
      <w:pPr>
        <w:spacing w:after="33"/>
        <w:ind w:left="0" w:firstLine="0"/>
        <w:jc w:val="left"/>
      </w:pPr>
      <w:r>
        <w:rPr>
          <w:rFonts w:ascii="Times New Roman" w:hAnsi="Times New Roman"/>
        </w:rPr>
        <w:t>☐</w:t>
      </w:r>
      <w:r>
        <w:t xml:space="preserve"> Recherche fondamentale (RF) </w:t>
      </w:r>
    </w:p>
    <w:p w14:paraId="1EA7F579" w14:textId="77777777" w:rsidR="00CA59ED" w:rsidRDefault="000E61B7">
      <w:pPr>
        <w:spacing w:after="35"/>
        <w:ind w:left="-5" w:right="6088"/>
      </w:pPr>
      <w:r>
        <w:rPr>
          <w:rFonts w:ascii="Times New Roman" w:hAnsi="Times New Roman"/>
        </w:rPr>
        <w:t>☐</w:t>
      </w:r>
      <w:r>
        <w:t xml:space="preserve"> Recherche industrielle (RI) </w:t>
      </w:r>
    </w:p>
    <w:p w14:paraId="2C80D323" w14:textId="77777777" w:rsidR="00615EDD" w:rsidRDefault="000E61B7" w:rsidP="00A60330">
      <w:pPr>
        <w:spacing w:after="35"/>
        <w:ind w:left="-5" w:right="5293"/>
      </w:pPr>
      <w:r>
        <w:rPr>
          <w:rFonts w:ascii="Times New Roman" w:hAnsi="Times New Roman"/>
        </w:rPr>
        <w:t>☐</w:t>
      </w:r>
      <w:r w:rsidR="00615EDD">
        <w:t xml:space="preserve"> Développement expérimental (DE)</w:t>
      </w:r>
    </w:p>
    <w:p w14:paraId="6530B7AF" w14:textId="77777777" w:rsidR="000C29A6" w:rsidRDefault="000C29A6" w:rsidP="00615EDD">
      <w:pPr>
        <w:tabs>
          <w:tab w:val="left" w:pos="2977"/>
        </w:tabs>
        <w:spacing w:after="35"/>
        <w:ind w:left="0" w:right="6088" w:firstLine="0"/>
      </w:pPr>
    </w:p>
    <w:p w14:paraId="1903A9D7" w14:textId="77777777" w:rsidR="000C29A6" w:rsidRDefault="000C29A6">
      <w:pPr>
        <w:spacing w:after="0" w:line="259" w:lineRule="auto"/>
        <w:ind w:left="0" w:firstLine="0"/>
        <w:jc w:val="left"/>
      </w:pPr>
    </w:p>
    <w:p w14:paraId="3C975AD9" w14:textId="77777777" w:rsidR="000C29A6" w:rsidRDefault="000C29A6">
      <w:pPr>
        <w:spacing w:line="259" w:lineRule="auto"/>
        <w:ind w:left="0" w:firstLine="0"/>
        <w:jc w:val="left"/>
      </w:pPr>
    </w:p>
    <w:p w14:paraId="15850416" w14:textId="77777777" w:rsidR="000C29A6" w:rsidRPr="0034211A" w:rsidRDefault="000E61B7" w:rsidP="00BD4BFD">
      <w:pPr>
        <w:rPr>
          <w:b/>
          <w:u w:val="single"/>
        </w:rPr>
      </w:pPr>
      <w:r w:rsidRPr="0034211A">
        <w:rPr>
          <w:b/>
          <w:u w:val="single"/>
        </w:rPr>
        <w:t>Type de partenariat</w:t>
      </w:r>
      <w:r w:rsidR="00A60330">
        <w:rPr>
          <w:b/>
          <w:u w:val="single"/>
        </w:rPr>
        <w:t> :</w:t>
      </w:r>
      <w:r w:rsidRPr="0034211A">
        <w:rPr>
          <w:b/>
          <w:u w:val="single"/>
        </w:rPr>
        <w:t xml:space="preserve">  </w:t>
      </w:r>
    </w:p>
    <w:p w14:paraId="2AFA7DE2" w14:textId="77777777" w:rsidR="000C29A6" w:rsidRDefault="000E61B7">
      <w:pPr>
        <w:spacing w:after="37"/>
        <w:ind w:left="-5" w:right="33"/>
      </w:pPr>
      <w:r>
        <w:rPr>
          <w:rFonts w:ascii="Times New Roman" w:hAnsi="Times New Roman"/>
        </w:rPr>
        <w:t>☐</w:t>
      </w:r>
      <w:r>
        <w:t xml:space="preserve"> Organismes de recherche </w:t>
      </w:r>
    </w:p>
    <w:p w14:paraId="66BC224A" w14:textId="77777777" w:rsidR="000C29A6" w:rsidRDefault="000E61B7">
      <w:pPr>
        <w:spacing w:after="40"/>
        <w:ind w:left="-5" w:right="33"/>
      </w:pPr>
      <w:r>
        <w:rPr>
          <w:rFonts w:ascii="Times New Roman" w:hAnsi="Times New Roman"/>
        </w:rPr>
        <w:t>☐</w:t>
      </w:r>
      <w:r>
        <w:t xml:space="preserve"> </w:t>
      </w:r>
      <w:r w:rsidR="0063602B">
        <w:t>Organisme</w:t>
      </w:r>
      <w:r>
        <w:t xml:space="preserve">s de recherche + partenaire économique (TPE, PME, ETI, GE) </w:t>
      </w:r>
    </w:p>
    <w:p w14:paraId="5A7C4CE5" w14:textId="77777777" w:rsidR="000C29A6" w:rsidRDefault="000E61B7">
      <w:pPr>
        <w:spacing w:after="39"/>
        <w:ind w:left="-5" w:right="33"/>
      </w:pPr>
      <w:r>
        <w:rPr>
          <w:rFonts w:ascii="Times New Roman" w:hAnsi="Times New Roman"/>
        </w:rPr>
        <w:t>☐</w:t>
      </w:r>
      <w:r w:rsidR="0063602B">
        <w:t xml:space="preserve"> Organismes de recherche + association</w:t>
      </w:r>
      <w:r>
        <w:t xml:space="preserve">s </w:t>
      </w:r>
    </w:p>
    <w:p w14:paraId="6D9EC920" w14:textId="77777777" w:rsidR="000C29A6" w:rsidRDefault="000E61B7">
      <w:pPr>
        <w:spacing w:after="40"/>
        <w:ind w:left="-5" w:right="33"/>
      </w:pPr>
      <w:r>
        <w:rPr>
          <w:rFonts w:ascii="Times New Roman" w:hAnsi="Times New Roman"/>
        </w:rPr>
        <w:t>☐</w:t>
      </w:r>
      <w:r w:rsidR="0063602B">
        <w:t xml:space="preserve"> Organisme</w:t>
      </w:r>
      <w:r>
        <w:t xml:space="preserve">s de recherche + EPIC </w:t>
      </w:r>
    </w:p>
    <w:p w14:paraId="7F96CBF4" w14:textId="77777777" w:rsidR="000C29A6" w:rsidRDefault="000E61B7">
      <w:pPr>
        <w:ind w:left="-5" w:right="33"/>
      </w:pPr>
      <w:r>
        <w:rPr>
          <w:rFonts w:ascii="Times New Roman" w:hAnsi="Times New Roman"/>
        </w:rPr>
        <w:t>☐</w:t>
      </w:r>
      <w:r>
        <w:t xml:space="preserve"> Autre : préciser ______________________________________________________ </w:t>
      </w:r>
    </w:p>
    <w:p w14:paraId="571B4F3E" w14:textId="77777777" w:rsidR="000C29A6" w:rsidRDefault="000C29A6">
      <w:pPr>
        <w:spacing w:after="0" w:line="259" w:lineRule="auto"/>
        <w:ind w:left="0" w:firstLine="0"/>
        <w:jc w:val="left"/>
      </w:pPr>
    </w:p>
    <w:p w14:paraId="4DBBE440" w14:textId="77777777" w:rsidR="000C29A6" w:rsidRDefault="000C29A6">
      <w:pPr>
        <w:spacing w:after="3" w:line="259" w:lineRule="auto"/>
        <w:ind w:left="0" w:firstLine="0"/>
        <w:jc w:val="left"/>
      </w:pPr>
    </w:p>
    <w:p w14:paraId="3C304637" w14:textId="77777777" w:rsidR="000C29A6" w:rsidRPr="0034211A" w:rsidRDefault="000E61B7" w:rsidP="00BD4BFD">
      <w:pPr>
        <w:rPr>
          <w:b/>
          <w:u w:val="single"/>
        </w:rPr>
      </w:pPr>
      <w:r w:rsidRPr="0034211A">
        <w:rPr>
          <w:b/>
          <w:u w:val="single"/>
        </w:rPr>
        <w:t>Niveau TRL</w:t>
      </w:r>
      <w:r w:rsidR="00615EDD">
        <w:rPr>
          <w:b/>
          <w:u w:val="single"/>
        </w:rPr>
        <w:t xml:space="preserve"> </w:t>
      </w:r>
      <w:proofErr w:type="gramStart"/>
      <w:r w:rsidR="00615EDD">
        <w:rPr>
          <w:b/>
          <w:u w:val="single"/>
        </w:rPr>
        <w:t xml:space="preserve">INITIAL </w:t>
      </w:r>
      <w:r w:rsidRPr="0034211A">
        <w:rPr>
          <w:b/>
          <w:u w:val="single"/>
        </w:rPr>
        <w:t xml:space="preserve"> (</w:t>
      </w:r>
      <w:proofErr w:type="spellStart"/>
      <w:proofErr w:type="gramEnd"/>
      <w:r w:rsidRPr="0034211A">
        <w:rPr>
          <w:b/>
          <w:u w:val="single"/>
        </w:rPr>
        <w:t>Technology</w:t>
      </w:r>
      <w:proofErr w:type="spellEnd"/>
      <w:r w:rsidRPr="0034211A">
        <w:rPr>
          <w:b/>
          <w:u w:val="single"/>
        </w:rPr>
        <w:t xml:space="preserve"> </w:t>
      </w:r>
      <w:proofErr w:type="spellStart"/>
      <w:r w:rsidRPr="0034211A">
        <w:rPr>
          <w:b/>
          <w:u w:val="single"/>
        </w:rPr>
        <w:t>Readiness</w:t>
      </w:r>
      <w:proofErr w:type="spellEnd"/>
      <w:r w:rsidRPr="0034211A">
        <w:rPr>
          <w:b/>
          <w:u w:val="single"/>
        </w:rPr>
        <w:t xml:space="preserve"> </w:t>
      </w:r>
      <w:proofErr w:type="spellStart"/>
      <w:r w:rsidRPr="0034211A">
        <w:rPr>
          <w:b/>
          <w:u w:val="single"/>
        </w:rPr>
        <w:t>Level</w:t>
      </w:r>
      <w:proofErr w:type="spellEnd"/>
      <w:r w:rsidRPr="0034211A">
        <w:rPr>
          <w:b/>
          <w:u w:val="single"/>
        </w:rPr>
        <w:t>)</w:t>
      </w:r>
      <w:r w:rsidR="00A60330">
        <w:rPr>
          <w:b/>
          <w:u w:val="single"/>
        </w:rPr>
        <w:t xml:space="preserve"> </w:t>
      </w:r>
      <w:r w:rsidRPr="0034211A">
        <w:rPr>
          <w:b/>
          <w:u w:val="single"/>
        </w:rPr>
        <w:t xml:space="preserve">:  </w:t>
      </w:r>
    </w:p>
    <w:p w14:paraId="23027317" w14:textId="77777777" w:rsidR="000C29A6" w:rsidRDefault="000E61B7" w:rsidP="00BD4BFD">
      <w:pPr>
        <w:ind w:left="-5" w:right="33"/>
      </w:pPr>
      <w:r>
        <w:t xml:space="preserve">L’échelle TRL est un système de mesure Européen utilisé pour évaluer le niveau de maturité d’une technologie. </w:t>
      </w:r>
    </w:p>
    <w:p w14:paraId="3005FB4B" w14:textId="77777777" w:rsidR="000C29A6" w:rsidRDefault="000E61B7">
      <w:pPr>
        <w:ind w:left="-5" w:right="33"/>
      </w:pPr>
      <w:r>
        <w:t xml:space="preserve">(1-9) : __________________________________________________ </w:t>
      </w:r>
      <w:r w:rsidR="005E72C3">
        <w:t>(Initial)</w:t>
      </w:r>
    </w:p>
    <w:p w14:paraId="70864017" w14:textId="77777777" w:rsidR="000C29A6" w:rsidRDefault="000C29A6">
      <w:pPr>
        <w:spacing w:after="0" w:line="259" w:lineRule="auto"/>
        <w:ind w:left="0" w:firstLine="0"/>
        <w:jc w:val="left"/>
      </w:pPr>
    </w:p>
    <w:p w14:paraId="69559602" w14:textId="77777777" w:rsidR="000C29A6" w:rsidRDefault="000E61B7">
      <w:pPr>
        <w:spacing w:after="0" w:line="259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 wp14:anchorId="309F9927" wp14:editId="75C33EFD">
            <wp:extent cx="5760720" cy="3957828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368BB0C" w14:textId="77777777" w:rsidR="00615EDD" w:rsidRPr="0034211A" w:rsidRDefault="00615EDD" w:rsidP="00615EDD">
      <w:pPr>
        <w:rPr>
          <w:b/>
          <w:u w:val="single"/>
        </w:rPr>
      </w:pPr>
      <w:r w:rsidRPr="0034211A">
        <w:rPr>
          <w:b/>
          <w:u w:val="single"/>
        </w:rPr>
        <w:t>Niveau TRL</w:t>
      </w:r>
      <w:r>
        <w:rPr>
          <w:b/>
          <w:u w:val="single"/>
        </w:rPr>
        <w:t xml:space="preserve"> FINAL ATTENDU</w:t>
      </w:r>
      <w:r w:rsidRPr="0034211A">
        <w:rPr>
          <w:b/>
          <w:u w:val="single"/>
        </w:rPr>
        <w:t xml:space="preserve"> (</w:t>
      </w:r>
      <w:proofErr w:type="spellStart"/>
      <w:r w:rsidRPr="0034211A">
        <w:rPr>
          <w:b/>
          <w:u w:val="single"/>
        </w:rPr>
        <w:t>Technology</w:t>
      </w:r>
      <w:proofErr w:type="spellEnd"/>
      <w:r w:rsidRPr="0034211A">
        <w:rPr>
          <w:b/>
          <w:u w:val="single"/>
        </w:rPr>
        <w:t xml:space="preserve"> </w:t>
      </w:r>
      <w:proofErr w:type="spellStart"/>
      <w:r w:rsidRPr="0034211A">
        <w:rPr>
          <w:b/>
          <w:u w:val="single"/>
        </w:rPr>
        <w:t>Readiness</w:t>
      </w:r>
      <w:proofErr w:type="spellEnd"/>
      <w:r w:rsidRPr="0034211A">
        <w:rPr>
          <w:b/>
          <w:u w:val="single"/>
        </w:rPr>
        <w:t xml:space="preserve"> </w:t>
      </w:r>
      <w:proofErr w:type="spellStart"/>
      <w:r w:rsidRPr="0034211A">
        <w:rPr>
          <w:b/>
          <w:u w:val="single"/>
        </w:rPr>
        <w:t>Level</w:t>
      </w:r>
      <w:proofErr w:type="spellEnd"/>
      <w:r w:rsidRPr="0034211A">
        <w:rPr>
          <w:b/>
          <w:u w:val="single"/>
        </w:rPr>
        <w:t>)</w:t>
      </w:r>
      <w:r w:rsidR="00A60330">
        <w:rPr>
          <w:b/>
          <w:u w:val="single"/>
        </w:rPr>
        <w:t xml:space="preserve"> :</w:t>
      </w:r>
    </w:p>
    <w:p w14:paraId="33DC798D" w14:textId="77777777" w:rsidR="00615EDD" w:rsidRDefault="00615EDD" w:rsidP="00615EDD">
      <w:pPr>
        <w:ind w:left="-5" w:right="33"/>
      </w:pPr>
      <w:r>
        <w:t xml:space="preserve">L’échelle TRL est un système de mesure Européen utilisé pour évaluer le niveau de maturité d’une technologie. </w:t>
      </w:r>
    </w:p>
    <w:p w14:paraId="2C2FE6EC" w14:textId="77777777" w:rsidR="00615EDD" w:rsidRDefault="00615EDD" w:rsidP="00615EDD">
      <w:pPr>
        <w:ind w:left="-5" w:right="33"/>
      </w:pPr>
      <w:r>
        <w:t xml:space="preserve">(1-9) : __________________________________________________ </w:t>
      </w:r>
      <w:r w:rsidR="005E72C3">
        <w:t>(Final)</w:t>
      </w:r>
    </w:p>
    <w:p w14:paraId="44BAB743" w14:textId="77777777" w:rsidR="00615EDD" w:rsidRDefault="00615EDD">
      <w:pPr>
        <w:spacing w:line="259" w:lineRule="auto"/>
        <w:ind w:left="0" w:firstLine="0"/>
        <w:jc w:val="left"/>
      </w:pPr>
    </w:p>
    <w:p w14:paraId="4A1562C6" w14:textId="77777777" w:rsidR="000C29A6" w:rsidRPr="0034211A" w:rsidRDefault="00A60330" w:rsidP="00BD4BFD">
      <w:pPr>
        <w:rPr>
          <w:b/>
          <w:u w:val="single"/>
        </w:rPr>
      </w:pPr>
      <w:r>
        <w:rPr>
          <w:b/>
          <w:u w:val="single"/>
        </w:rPr>
        <w:t>Résultats attendus :</w:t>
      </w:r>
    </w:p>
    <w:p w14:paraId="317B332D" w14:textId="77777777" w:rsidR="000C29A6" w:rsidRDefault="000E61B7">
      <w:pPr>
        <w:spacing w:after="39"/>
        <w:ind w:left="-5" w:right="33"/>
      </w:pPr>
      <w:r>
        <w:rPr>
          <w:rFonts w:ascii="Times New Roman" w:hAnsi="Times New Roman"/>
        </w:rPr>
        <w:t>☐</w:t>
      </w:r>
      <w:r>
        <w:t xml:space="preserve"> Déclaration d’invention </w:t>
      </w:r>
    </w:p>
    <w:p w14:paraId="5E6718BE" w14:textId="77777777" w:rsidR="000C29A6" w:rsidRDefault="000E61B7">
      <w:pPr>
        <w:spacing w:after="36"/>
        <w:ind w:left="-5" w:right="33"/>
      </w:pPr>
      <w:r>
        <w:rPr>
          <w:rFonts w:ascii="Times New Roman" w:hAnsi="Times New Roman"/>
        </w:rPr>
        <w:t>☐</w:t>
      </w:r>
      <w:r>
        <w:t xml:space="preserve"> Déclaration Logicielle </w:t>
      </w:r>
    </w:p>
    <w:p w14:paraId="342D113B" w14:textId="77777777" w:rsidR="000C29A6" w:rsidRDefault="000E61B7">
      <w:pPr>
        <w:spacing w:after="39"/>
        <w:ind w:left="-5" w:right="33"/>
      </w:pPr>
      <w:r>
        <w:rPr>
          <w:rFonts w:ascii="Times New Roman" w:hAnsi="Times New Roman"/>
        </w:rPr>
        <w:t>☐</w:t>
      </w:r>
      <w:r>
        <w:t xml:space="preserve"> Dépôt brevet </w:t>
      </w:r>
    </w:p>
    <w:p w14:paraId="3FFAE6F7" w14:textId="77777777" w:rsidR="000C29A6" w:rsidRDefault="000E61B7">
      <w:pPr>
        <w:spacing w:after="40"/>
        <w:ind w:left="-5" w:right="33"/>
      </w:pPr>
      <w:r>
        <w:rPr>
          <w:rFonts w:ascii="Times New Roman" w:hAnsi="Times New Roman"/>
        </w:rPr>
        <w:t>☐</w:t>
      </w:r>
      <w:r>
        <w:t xml:space="preserve"> Savoir-faire commercialisable </w:t>
      </w:r>
    </w:p>
    <w:p w14:paraId="177B661A" w14:textId="77777777" w:rsidR="000C29A6" w:rsidRDefault="000E61B7">
      <w:pPr>
        <w:ind w:left="-5" w:right="33"/>
      </w:pPr>
      <w:r>
        <w:rPr>
          <w:rFonts w:ascii="Times New Roman" w:hAnsi="Times New Roman"/>
        </w:rPr>
        <w:t>☐</w:t>
      </w:r>
      <w:r>
        <w:t xml:space="preserve"> Autre : préciser ______________________________________________________</w:t>
      </w:r>
    </w:p>
    <w:p w14:paraId="7408BB26" w14:textId="77777777" w:rsidR="000C29A6" w:rsidRDefault="000C29A6">
      <w:pPr>
        <w:spacing w:line="259" w:lineRule="auto"/>
        <w:ind w:left="0" w:firstLine="0"/>
        <w:jc w:val="left"/>
      </w:pPr>
    </w:p>
    <w:p w14:paraId="0E009A7E" w14:textId="77777777" w:rsidR="000C29A6" w:rsidRPr="0034211A" w:rsidRDefault="000E61B7" w:rsidP="00BD4BFD">
      <w:pPr>
        <w:rPr>
          <w:b/>
          <w:u w:val="single"/>
        </w:rPr>
      </w:pPr>
      <w:r w:rsidRPr="0034211A">
        <w:rPr>
          <w:b/>
          <w:u w:val="single"/>
        </w:rPr>
        <w:t>Résumé</w:t>
      </w:r>
      <w:r w:rsidR="0034211A">
        <w:rPr>
          <w:b/>
          <w:u w:val="single"/>
        </w:rPr>
        <w:t> :</w:t>
      </w:r>
    </w:p>
    <w:p w14:paraId="483386A6" w14:textId="77777777" w:rsidR="000C29A6" w:rsidRDefault="000E61B7">
      <w:pPr>
        <w:ind w:left="-5" w:right="33"/>
      </w:pPr>
      <w:r>
        <w:t xml:space="preserve">En cas de projet valorisable à moyen et long terme, merci de </w:t>
      </w:r>
      <w:r w:rsidRPr="006E5F48">
        <w:rPr>
          <w:b/>
          <w:i/>
        </w:rPr>
        <w:t xml:space="preserve">justifier </w:t>
      </w:r>
      <w:r w:rsidR="006E5F48" w:rsidRPr="006E5F48">
        <w:rPr>
          <w:b/>
          <w:i/>
        </w:rPr>
        <w:t>avec précision</w:t>
      </w:r>
      <w:r w:rsidR="006E5F48">
        <w:t xml:space="preserve"> cette analyse</w:t>
      </w:r>
      <w:r>
        <w:t xml:space="preserve"> : </w:t>
      </w:r>
    </w:p>
    <w:p w14:paraId="7BC174F4" w14:textId="77777777" w:rsidR="000C29A6" w:rsidRDefault="000C29A6">
      <w:pPr>
        <w:spacing w:after="0" w:line="259" w:lineRule="auto"/>
        <w:ind w:left="0" w:firstLine="0"/>
        <w:jc w:val="left"/>
      </w:pPr>
    </w:p>
    <w:p w14:paraId="47B0AF00" w14:textId="77777777" w:rsidR="0034211A" w:rsidRPr="0034211A" w:rsidRDefault="00A60330" w:rsidP="0034211A">
      <w:pPr>
        <w:rPr>
          <w:b/>
          <w:u w:val="single"/>
        </w:rPr>
      </w:pPr>
      <w:r>
        <w:rPr>
          <w:b/>
          <w:u w:val="single"/>
        </w:rPr>
        <w:t>Evaluation :</w:t>
      </w:r>
    </w:p>
    <w:p w14:paraId="60365E4D" w14:textId="77777777" w:rsidR="0034211A" w:rsidRDefault="0034211A">
      <w:pPr>
        <w:ind w:left="-5" w:right="33"/>
      </w:pPr>
    </w:p>
    <w:p w14:paraId="20CC9EDE" w14:textId="77777777" w:rsidR="000C29A6" w:rsidRDefault="000E61B7">
      <w:pPr>
        <w:ind w:left="-5" w:right="33"/>
      </w:pPr>
      <w:r>
        <w:t>Compte tenu des éléments de caractérisation ci-haut, votre projet est</w:t>
      </w:r>
      <w:r w:rsidR="00A60330">
        <w:t xml:space="preserve"> </w:t>
      </w:r>
    </w:p>
    <w:p w14:paraId="64F77DE4" w14:textId="77777777" w:rsidR="000C29A6" w:rsidRDefault="000C29A6">
      <w:pPr>
        <w:spacing w:after="21" w:line="259" w:lineRule="auto"/>
        <w:ind w:left="0" w:firstLine="0"/>
        <w:jc w:val="left"/>
      </w:pPr>
    </w:p>
    <w:p w14:paraId="05A58C77" w14:textId="77777777" w:rsidR="000C29A6" w:rsidRDefault="000E61B7">
      <w:pPr>
        <w:ind w:left="-5" w:right="33"/>
      </w:pPr>
      <w:r>
        <w:rPr>
          <w:rFonts w:ascii="Times New Roman" w:hAnsi="Times New Roman"/>
        </w:rPr>
        <w:t>☐</w:t>
      </w:r>
      <w:r>
        <w:t xml:space="preserve"> non-valorisable (Gestion TTC) </w:t>
      </w:r>
    </w:p>
    <w:p w14:paraId="3B0A75A4" w14:textId="77777777" w:rsidR="00CA59ED" w:rsidRDefault="000E61B7">
      <w:pPr>
        <w:ind w:left="-5" w:right="33"/>
      </w:pPr>
      <w:r>
        <w:rPr>
          <w:rFonts w:ascii="Times New Roman" w:hAnsi="Times New Roman"/>
        </w:rPr>
        <w:t>☐</w:t>
      </w:r>
      <w:r w:rsidR="00CA59ED">
        <w:t xml:space="preserve"> Valorisable à court terme (Gestion HT)</w:t>
      </w:r>
    </w:p>
    <w:p w14:paraId="1B4FE833" w14:textId="77777777" w:rsidR="00CA59ED" w:rsidRDefault="000E61B7">
      <w:pPr>
        <w:ind w:left="-5" w:right="33"/>
      </w:pPr>
      <w:r>
        <w:rPr>
          <w:rFonts w:ascii="Times New Roman" w:hAnsi="Times New Roman"/>
        </w:rPr>
        <w:t>☐</w:t>
      </w:r>
      <w:r>
        <w:t xml:space="preserve"> Valorisable à moyen terme</w:t>
      </w:r>
      <w:r w:rsidR="00CA59ED">
        <w:t xml:space="preserve"> (Gestion HT)</w:t>
      </w:r>
    </w:p>
    <w:p w14:paraId="638BBB46" w14:textId="77777777" w:rsidR="000C29A6" w:rsidRDefault="000E61B7" w:rsidP="00CA59ED">
      <w:pPr>
        <w:ind w:left="0" w:right="33" w:firstLine="0"/>
      </w:pPr>
      <w:r>
        <w:rPr>
          <w:rFonts w:ascii="Times New Roman" w:hAnsi="Times New Roman"/>
        </w:rPr>
        <w:t>☐</w:t>
      </w:r>
      <w:r>
        <w:t xml:space="preserve"> Valorisable à long terme </w:t>
      </w:r>
      <w:r w:rsidR="00CA59ED">
        <w:t>(Gestion HT)</w:t>
      </w:r>
    </w:p>
    <w:p w14:paraId="029C68F7" w14:textId="77777777" w:rsidR="00CA59ED" w:rsidRDefault="00CA59ED">
      <w:pPr>
        <w:spacing w:after="0" w:line="259" w:lineRule="auto"/>
        <w:ind w:left="0" w:firstLine="0"/>
        <w:jc w:val="left"/>
      </w:pPr>
    </w:p>
    <w:p w14:paraId="45737ADC" w14:textId="77777777" w:rsidR="00CA59ED" w:rsidRPr="00301230" w:rsidRDefault="00CA59ED" w:rsidP="0034211A">
      <w:pPr>
        <w:spacing w:after="0" w:line="259" w:lineRule="auto"/>
        <w:ind w:left="4536" w:firstLine="0"/>
        <w:jc w:val="center"/>
      </w:pPr>
      <w:r w:rsidRPr="00301230">
        <w:t>Fonctions, nom et prénom du porteur de projet</w:t>
      </w:r>
    </w:p>
    <w:p w14:paraId="7A3D2D6D" w14:textId="77777777" w:rsidR="00CA59ED" w:rsidRPr="00301230" w:rsidRDefault="00CA59ED" w:rsidP="00CA59ED">
      <w:pPr>
        <w:spacing w:after="0" w:line="259" w:lineRule="auto"/>
        <w:ind w:left="4536" w:firstLine="0"/>
        <w:jc w:val="center"/>
      </w:pPr>
    </w:p>
    <w:p w14:paraId="1804A7D6" w14:textId="77777777" w:rsidR="00CA59ED" w:rsidRDefault="00CA59ED" w:rsidP="00CA59ED">
      <w:pPr>
        <w:spacing w:after="0" w:line="259" w:lineRule="auto"/>
        <w:ind w:left="4536" w:firstLine="0"/>
        <w:jc w:val="center"/>
      </w:pPr>
      <w:r w:rsidRPr="00301230">
        <w:t>Signature lisible</w:t>
      </w:r>
    </w:p>
    <w:p w14:paraId="05A76C53" w14:textId="77777777" w:rsidR="00CF2D88" w:rsidRDefault="00CF2D88">
      <w:pPr>
        <w:spacing w:after="160" w:line="259" w:lineRule="auto"/>
        <w:ind w:left="0" w:firstLine="0"/>
        <w:jc w:val="left"/>
      </w:pPr>
      <w:r>
        <w:br w:type="page"/>
      </w:r>
    </w:p>
    <w:p w14:paraId="02F36CBF" w14:textId="77777777" w:rsidR="00CF2D88" w:rsidRPr="009F2C5D" w:rsidRDefault="009F2C5D">
      <w:pPr>
        <w:spacing w:after="0" w:line="259" w:lineRule="auto"/>
        <w:ind w:left="0" w:firstLine="0"/>
        <w:jc w:val="left"/>
        <w:rPr>
          <w:u w:val="single"/>
        </w:rPr>
      </w:pPr>
      <w:r w:rsidRPr="009F2C5D">
        <w:rPr>
          <w:u w:val="single"/>
        </w:rPr>
        <w:lastRenderedPageBreak/>
        <w:t>Analyse du potentiel valorisable de l’opération selon l’ordonnateur :</w:t>
      </w:r>
    </w:p>
    <w:p w14:paraId="4F9F7E87" w14:textId="77777777" w:rsidR="009F2C5D" w:rsidRDefault="009F2C5D">
      <w:pPr>
        <w:spacing w:after="0" w:line="259" w:lineRule="auto"/>
        <w:ind w:left="0" w:firstLine="0"/>
        <w:jc w:val="left"/>
      </w:pPr>
    </w:p>
    <w:p w14:paraId="34C5E227" w14:textId="77777777" w:rsidR="009F2C5D" w:rsidRDefault="009F2C5D" w:rsidP="009F2C5D">
      <w:pPr>
        <w:spacing w:after="0" w:line="259" w:lineRule="auto"/>
        <w:ind w:left="0" w:firstLine="0"/>
      </w:pPr>
      <w:r>
        <w:t xml:space="preserve">Pour l’ordonnateur l’analyse du potentiel valorisable ou non de l’opération porte sur une analyse multicritère : </w:t>
      </w:r>
    </w:p>
    <w:p w14:paraId="2681CC3C" w14:textId="77777777" w:rsidR="009F2C5D" w:rsidRPr="0063602B" w:rsidRDefault="009F2C5D" w:rsidP="009F2C5D">
      <w:pPr>
        <w:pStyle w:val="Paragraphedeliste"/>
        <w:numPr>
          <w:ilvl w:val="0"/>
          <w:numId w:val="4"/>
        </w:numPr>
        <w:spacing w:after="0" w:line="259" w:lineRule="auto"/>
        <w:rPr>
          <w:i/>
        </w:rPr>
      </w:pPr>
      <w:r w:rsidRPr="0063602B">
        <w:rPr>
          <w:i/>
        </w:rPr>
        <w:t>TRL de l’opération ;</w:t>
      </w:r>
    </w:p>
    <w:p w14:paraId="5C84DA02" w14:textId="77777777" w:rsidR="009F2C5D" w:rsidRDefault="009F2C5D" w:rsidP="009F2C5D">
      <w:pPr>
        <w:pStyle w:val="Paragraphedeliste"/>
        <w:numPr>
          <w:ilvl w:val="0"/>
          <w:numId w:val="4"/>
        </w:numPr>
        <w:spacing w:after="0" w:line="259" w:lineRule="auto"/>
        <w:rPr>
          <w:i/>
        </w:rPr>
      </w:pPr>
      <w:r w:rsidRPr="0063602B">
        <w:rPr>
          <w:i/>
        </w:rPr>
        <w:t>Liens avec le secteur industriel et commercial privé ou avec le secteur public ;</w:t>
      </w:r>
    </w:p>
    <w:p w14:paraId="6FAC721D" w14:textId="77777777" w:rsidR="0063602B" w:rsidRPr="0063602B" w:rsidRDefault="0063602B" w:rsidP="0063602B">
      <w:pPr>
        <w:pStyle w:val="Paragraphedeliste"/>
        <w:numPr>
          <w:ilvl w:val="0"/>
          <w:numId w:val="4"/>
        </w:numPr>
        <w:spacing w:after="0" w:line="259" w:lineRule="auto"/>
        <w:rPr>
          <w:i/>
        </w:rPr>
      </w:pPr>
      <w:r>
        <w:rPr>
          <w:i/>
        </w:rPr>
        <w:t xml:space="preserve">Organes et modalités de la valorisation de la recherche (SATT, SAIC) ; </w:t>
      </w:r>
    </w:p>
    <w:p w14:paraId="45A2B83F" w14:textId="77777777" w:rsidR="0063602B" w:rsidRDefault="009F2C5D" w:rsidP="009F2C5D">
      <w:pPr>
        <w:pStyle w:val="Paragraphedeliste"/>
        <w:numPr>
          <w:ilvl w:val="0"/>
          <w:numId w:val="4"/>
        </w:numPr>
        <w:spacing w:after="0" w:line="259" w:lineRule="auto"/>
        <w:rPr>
          <w:i/>
        </w:rPr>
      </w:pPr>
      <w:r w:rsidRPr="0063602B">
        <w:rPr>
          <w:i/>
        </w:rPr>
        <w:t>Structure et ratio des dépenses (des dépenses majoritairement HT comme le personnel ou les déplacements réduisent la capacité à déduire de la TVA) </w:t>
      </w:r>
    </w:p>
    <w:p w14:paraId="0E833084" w14:textId="77777777" w:rsidR="009F2C5D" w:rsidRPr="0063602B" w:rsidRDefault="0063602B" w:rsidP="009F2C5D">
      <w:pPr>
        <w:pStyle w:val="Paragraphedeliste"/>
        <w:numPr>
          <w:ilvl w:val="0"/>
          <w:numId w:val="4"/>
        </w:numPr>
        <w:spacing w:after="0" w:line="259" w:lineRule="auto"/>
        <w:jc w:val="left"/>
        <w:rPr>
          <w:i/>
        </w:rPr>
      </w:pPr>
      <w:r>
        <w:rPr>
          <w:i/>
        </w:rPr>
        <w:t>Perspectives rapide de vente et de recettes commerciales ;</w:t>
      </w:r>
    </w:p>
    <w:p w14:paraId="59E8F372" w14:textId="77777777" w:rsidR="009F2C5D" w:rsidRDefault="009F2C5D">
      <w:pPr>
        <w:spacing w:after="0" w:line="259" w:lineRule="auto"/>
        <w:ind w:left="0" w:firstLine="0"/>
        <w:jc w:val="left"/>
      </w:pPr>
    </w:p>
    <w:p w14:paraId="58D03ECB" w14:textId="77777777" w:rsidR="009F2C5D" w:rsidRDefault="009F2C5D">
      <w:pPr>
        <w:spacing w:after="0" w:line="259" w:lineRule="auto"/>
        <w:ind w:left="0" w:firstLine="0"/>
        <w:jc w:val="left"/>
      </w:pPr>
    </w:p>
    <w:p w14:paraId="4805DE8B" w14:textId="77777777" w:rsidR="009F2C5D" w:rsidRDefault="009F2C5D">
      <w:pPr>
        <w:spacing w:after="0" w:line="259" w:lineRule="auto"/>
        <w:ind w:left="0" w:firstLine="0"/>
        <w:jc w:val="left"/>
      </w:pPr>
    </w:p>
    <w:p w14:paraId="24374A72" w14:textId="77777777" w:rsidR="009F2C5D" w:rsidRPr="009F2C5D" w:rsidRDefault="009F2C5D" w:rsidP="009F2C5D">
      <w:pPr>
        <w:spacing w:after="0" w:line="259" w:lineRule="auto"/>
        <w:ind w:left="0" w:firstLine="0"/>
        <w:jc w:val="left"/>
        <w:rPr>
          <w:u w:val="single"/>
        </w:rPr>
      </w:pPr>
      <w:r w:rsidRPr="009F2C5D">
        <w:rPr>
          <w:u w:val="single"/>
        </w:rPr>
        <w:t>Décision de l’ordonnateur sur le régime fiscal de l’opération :</w:t>
      </w:r>
    </w:p>
    <w:p w14:paraId="782FC9FB" w14:textId="77777777" w:rsidR="009F2C5D" w:rsidRDefault="009F2C5D">
      <w:pPr>
        <w:spacing w:after="0" w:line="259" w:lineRule="auto"/>
        <w:ind w:left="0" w:firstLine="0"/>
        <w:jc w:val="left"/>
      </w:pPr>
    </w:p>
    <w:p w14:paraId="5C64A8D4" w14:textId="77777777" w:rsidR="009F2C5D" w:rsidRDefault="009F2C5D">
      <w:pPr>
        <w:spacing w:after="0" w:line="259" w:lineRule="auto"/>
        <w:ind w:left="0" w:firstLine="0"/>
        <w:jc w:val="left"/>
      </w:pPr>
    </w:p>
    <w:p w14:paraId="1CADB698" w14:textId="77777777" w:rsidR="009F2C5D" w:rsidRDefault="009F2C5D">
      <w:pPr>
        <w:spacing w:after="0" w:line="259" w:lineRule="auto"/>
        <w:ind w:left="0" w:firstLine="0"/>
        <w:jc w:val="left"/>
      </w:pPr>
    </w:p>
    <w:p w14:paraId="4F429612" w14:textId="77777777" w:rsidR="00CF2D88" w:rsidRDefault="00CF2D88" w:rsidP="00CF2D88">
      <w:pPr>
        <w:ind w:left="-5" w:right="33"/>
      </w:pPr>
      <w:r>
        <w:rPr>
          <w:rFonts w:ascii="Times New Roman" w:hAnsi="Times New Roman"/>
        </w:rPr>
        <w:t>☐</w:t>
      </w:r>
      <w:r>
        <w:t xml:space="preserve"> non-valorisable (Gestion TTC) </w:t>
      </w:r>
    </w:p>
    <w:p w14:paraId="48841ADD" w14:textId="77777777" w:rsidR="00CF2D88" w:rsidRDefault="00CF2D88" w:rsidP="00CF2D88">
      <w:pPr>
        <w:ind w:left="-5" w:right="33"/>
      </w:pPr>
      <w:r>
        <w:rPr>
          <w:rFonts w:ascii="Times New Roman" w:hAnsi="Times New Roman"/>
        </w:rPr>
        <w:t>☐</w:t>
      </w:r>
      <w:r>
        <w:t xml:space="preserve"> Valorisable (Gestion HT)</w:t>
      </w:r>
    </w:p>
    <w:p w14:paraId="0F076076" w14:textId="77777777" w:rsidR="00CF2D88" w:rsidRDefault="00CF2D88">
      <w:pPr>
        <w:spacing w:after="0" w:line="259" w:lineRule="auto"/>
        <w:ind w:left="0" w:firstLine="0"/>
        <w:jc w:val="left"/>
      </w:pPr>
    </w:p>
    <w:p w14:paraId="290C4FFB" w14:textId="77777777" w:rsidR="00CF2D88" w:rsidRPr="00301230" w:rsidRDefault="00CF2D88" w:rsidP="00CF2D88">
      <w:pPr>
        <w:spacing w:after="0" w:line="259" w:lineRule="auto"/>
        <w:ind w:left="4536" w:firstLine="0"/>
        <w:jc w:val="center"/>
      </w:pPr>
      <w:r w:rsidRPr="00301230">
        <w:t>Pour l’ordonnateur de la COMUE UBFC et par délégation,</w:t>
      </w:r>
    </w:p>
    <w:p w14:paraId="5865241A" w14:textId="77777777" w:rsidR="00CF2D88" w:rsidRPr="00301230" w:rsidRDefault="00CF2D88" w:rsidP="00CF2D88">
      <w:pPr>
        <w:spacing w:after="0" w:line="259" w:lineRule="auto"/>
        <w:ind w:left="4536" w:firstLine="0"/>
        <w:jc w:val="center"/>
      </w:pPr>
    </w:p>
    <w:p w14:paraId="3B26E412" w14:textId="77777777" w:rsidR="00CF2D88" w:rsidRPr="00301230" w:rsidRDefault="00CF2D88" w:rsidP="00CF2D88">
      <w:pPr>
        <w:spacing w:after="0" w:line="259" w:lineRule="auto"/>
        <w:ind w:left="4536" w:firstLine="0"/>
        <w:jc w:val="center"/>
      </w:pPr>
    </w:p>
    <w:p w14:paraId="5E084C39" w14:textId="77777777" w:rsidR="00CF2D88" w:rsidRPr="00301230" w:rsidRDefault="00CF2D88" w:rsidP="00CF2D88">
      <w:pPr>
        <w:spacing w:after="0" w:line="259" w:lineRule="auto"/>
        <w:ind w:left="4536" w:firstLine="0"/>
        <w:jc w:val="center"/>
      </w:pPr>
      <w:r w:rsidRPr="00301230">
        <w:t>Signature</w:t>
      </w:r>
    </w:p>
    <w:p w14:paraId="7F60FDB2" w14:textId="77777777" w:rsidR="00CF2D88" w:rsidRPr="00301230" w:rsidRDefault="00CF2D88" w:rsidP="00CF2D88">
      <w:pPr>
        <w:spacing w:after="0" w:line="259" w:lineRule="auto"/>
        <w:ind w:left="4536" w:firstLine="0"/>
        <w:jc w:val="center"/>
      </w:pPr>
    </w:p>
    <w:p w14:paraId="46F19172" w14:textId="77777777" w:rsidR="00CF2D88" w:rsidRPr="00301230" w:rsidRDefault="00CF2D88" w:rsidP="00CF2D88">
      <w:pPr>
        <w:spacing w:after="0" w:line="259" w:lineRule="auto"/>
        <w:ind w:left="4536" w:firstLine="0"/>
        <w:jc w:val="center"/>
      </w:pPr>
    </w:p>
    <w:p w14:paraId="3C659EF3" w14:textId="77777777" w:rsidR="00CF2D88" w:rsidRDefault="00CF2D88" w:rsidP="00CF2D88">
      <w:pPr>
        <w:spacing w:after="0" w:line="259" w:lineRule="auto"/>
        <w:ind w:left="4536" w:firstLine="0"/>
        <w:jc w:val="center"/>
      </w:pPr>
      <w:r w:rsidRPr="00301230">
        <w:t>Nom et Prénom</w:t>
      </w:r>
    </w:p>
    <w:p w14:paraId="218FB6A2" w14:textId="77777777" w:rsidR="00CF2D88" w:rsidRDefault="00CF2D88" w:rsidP="00CF2D88">
      <w:pPr>
        <w:spacing w:after="0" w:line="259" w:lineRule="auto"/>
        <w:ind w:left="4536" w:firstLine="0"/>
        <w:jc w:val="center"/>
      </w:pPr>
    </w:p>
    <w:p w14:paraId="215E1CFA" w14:textId="77777777" w:rsidR="00CF2D88" w:rsidRDefault="00CF2D88">
      <w:pPr>
        <w:spacing w:after="0" w:line="259" w:lineRule="auto"/>
        <w:ind w:left="0" w:firstLine="0"/>
        <w:jc w:val="left"/>
      </w:pPr>
    </w:p>
    <w:p w14:paraId="328A582C" w14:textId="77777777" w:rsidR="00CF2D88" w:rsidRDefault="00CF2D88">
      <w:pPr>
        <w:spacing w:after="0" w:line="259" w:lineRule="auto"/>
        <w:ind w:left="0" w:firstLine="0"/>
        <w:jc w:val="left"/>
      </w:pPr>
    </w:p>
    <w:p w14:paraId="0065500D" w14:textId="77777777" w:rsidR="00CF2D88" w:rsidRDefault="00CF2D88">
      <w:pPr>
        <w:spacing w:after="0" w:line="259" w:lineRule="auto"/>
        <w:ind w:left="0" w:firstLine="0"/>
        <w:jc w:val="left"/>
      </w:pPr>
    </w:p>
    <w:p w14:paraId="49BCC1D0" w14:textId="77777777" w:rsidR="00CF2D88" w:rsidRDefault="00CF2D88">
      <w:pPr>
        <w:spacing w:after="0" w:line="259" w:lineRule="auto"/>
        <w:ind w:left="0" w:firstLine="0"/>
        <w:jc w:val="left"/>
      </w:pPr>
    </w:p>
    <w:p w14:paraId="69642027" w14:textId="77777777" w:rsidR="00CA59ED" w:rsidRDefault="00CA59ED">
      <w:pPr>
        <w:spacing w:after="160" w:line="259" w:lineRule="auto"/>
        <w:ind w:left="0" w:firstLine="0"/>
        <w:jc w:val="left"/>
      </w:pPr>
      <w:r>
        <w:br w:type="page"/>
      </w:r>
    </w:p>
    <w:p w14:paraId="41326D5B" w14:textId="77777777" w:rsidR="000C29A6" w:rsidRDefault="000C29A6">
      <w:pPr>
        <w:spacing w:after="0" w:line="259" w:lineRule="auto"/>
        <w:ind w:left="0" w:firstLine="0"/>
        <w:jc w:val="left"/>
      </w:pPr>
    </w:p>
    <w:p w14:paraId="469A1932" w14:textId="77777777" w:rsidR="000C29A6" w:rsidRPr="00AC5F9D" w:rsidRDefault="000E61B7" w:rsidP="00AC5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AC5F9D">
        <w:rPr>
          <w:b/>
          <w:i/>
          <w:highlight w:val="green"/>
        </w:rPr>
        <w:t>QUELQUES ELEMENTS BUDGETAIRES</w:t>
      </w:r>
    </w:p>
    <w:p w14:paraId="20C5648A" w14:textId="77777777" w:rsidR="000C29A6" w:rsidRDefault="000C29A6">
      <w:pPr>
        <w:spacing w:after="0" w:line="259" w:lineRule="auto"/>
        <w:ind w:left="0" w:firstLine="0"/>
        <w:jc w:val="left"/>
      </w:pPr>
    </w:p>
    <w:p w14:paraId="4FAEBFA6" w14:textId="77777777" w:rsidR="00BD4BFD" w:rsidRDefault="00BD4BFD">
      <w:pPr>
        <w:spacing w:after="0" w:line="259" w:lineRule="auto"/>
        <w:ind w:left="0" w:firstLine="0"/>
        <w:jc w:val="left"/>
      </w:pPr>
    </w:p>
    <w:p w14:paraId="7DFB2203" w14:textId="77777777" w:rsidR="000C29A6" w:rsidRPr="00BD4BFD" w:rsidRDefault="00BD4BFD" w:rsidP="00BD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33"/>
        <w:rPr>
          <w:b/>
        </w:rPr>
      </w:pPr>
      <w:r w:rsidRPr="00BD4BFD">
        <w:rPr>
          <w:b/>
        </w:rPr>
        <w:t xml:space="preserve">Projets valorisables = </w:t>
      </w:r>
      <w:r w:rsidR="000E61B7" w:rsidRPr="00BD4BFD">
        <w:rPr>
          <w:b/>
        </w:rPr>
        <w:t>(HT)</w:t>
      </w:r>
      <w:r w:rsidRPr="00BD4BFD">
        <w:rPr>
          <w:b/>
        </w:rPr>
        <w:t>. Récupération de la TVA et sur les recettes commerciales (les subventions publiques ne sont pas assujetties à la TVA).</w:t>
      </w:r>
    </w:p>
    <w:p w14:paraId="2654BDB5" w14:textId="77777777" w:rsidR="000C29A6" w:rsidRPr="00BD4BFD" w:rsidRDefault="00BD4BFD" w:rsidP="00BD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33"/>
        <w:rPr>
          <w:b/>
        </w:rPr>
      </w:pPr>
      <w:r w:rsidRPr="00BD4BFD">
        <w:rPr>
          <w:b/>
        </w:rPr>
        <w:t>Projets non-valorisables = TTC. Non récupération de la TVA sur les dépenses et sur les recettes</w:t>
      </w:r>
      <w:r w:rsidR="000E61B7" w:rsidRPr="00BD4BFD">
        <w:rPr>
          <w:b/>
        </w:rPr>
        <w:t xml:space="preserve"> </w:t>
      </w:r>
    </w:p>
    <w:p w14:paraId="1BFEA2E5" w14:textId="77777777" w:rsidR="000C29A6" w:rsidRDefault="000C29A6">
      <w:pPr>
        <w:spacing w:after="0" w:line="259" w:lineRule="auto"/>
        <w:ind w:left="0" w:firstLine="0"/>
        <w:jc w:val="left"/>
      </w:pPr>
    </w:p>
    <w:p w14:paraId="12BBF260" w14:textId="77777777" w:rsidR="000C29A6" w:rsidRDefault="000E61B7">
      <w:pPr>
        <w:ind w:left="-5" w:right="33"/>
      </w:pPr>
      <w:r>
        <w:t>Lors du montage d’un dossier de demande de financement, le budget doit être présenté TTC ou HT, en fonction de l’existence ou non d’un potentiel</w:t>
      </w:r>
      <w:r w:rsidR="00BD4BFD">
        <w:t xml:space="preserve"> de valorisation sur le projet.</w:t>
      </w:r>
    </w:p>
    <w:p w14:paraId="4F4E15C8" w14:textId="77777777" w:rsidR="00BD4BFD" w:rsidRDefault="00BD4BFD">
      <w:pPr>
        <w:ind w:left="-5" w:right="33"/>
      </w:pPr>
    </w:p>
    <w:p w14:paraId="01A66962" w14:textId="77777777" w:rsidR="000C29A6" w:rsidRDefault="000E61B7">
      <w:pPr>
        <w:ind w:left="-5" w:right="33"/>
      </w:pPr>
      <w:r>
        <w:t xml:space="preserve">L’étude du potentiel de valorisation commerciale ou industrielle des résultats envisagés dans le projet, ainsi que le choix du service gestionnaire qui en découle, sont effectués par la </w:t>
      </w:r>
      <w:r w:rsidR="00CA59ED">
        <w:t>DAF de l’UBFC</w:t>
      </w:r>
      <w:r>
        <w:t xml:space="preserve">, lors du montage financier du projet. </w:t>
      </w:r>
    </w:p>
    <w:p w14:paraId="68259244" w14:textId="77777777" w:rsidR="000C29A6" w:rsidRDefault="000C29A6">
      <w:pPr>
        <w:spacing w:after="0" w:line="259" w:lineRule="auto"/>
        <w:ind w:left="0" w:firstLine="0"/>
        <w:jc w:val="left"/>
      </w:pPr>
    </w:p>
    <w:p w14:paraId="0469275B" w14:textId="77777777" w:rsidR="00CA59ED" w:rsidRDefault="000E61B7">
      <w:pPr>
        <w:ind w:left="-5" w:right="33"/>
      </w:pPr>
      <w:r>
        <w:t>En cas de potentialité de valorisation, les sommes doivent être présentées HT et seron</w:t>
      </w:r>
      <w:r w:rsidR="00CA59ED">
        <w:t>t imputées HT sur le budget.</w:t>
      </w:r>
    </w:p>
    <w:p w14:paraId="5117752C" w14:textId="77777777" w:rsidR="000C29A6" w:rsidRDefault="00CA59ED">
      <w:pPr>
        <w:ind w:left="-5" w:right="33"/>
      </w:pPr>
      <w:r>
        <w:t>UB</w:t>
      </w:r>
      <w:r w:rsidR="000E61B7">
        <w:t>FC r</w:t>
      </w:r>
      <w:r>
        <w:t>écupère la TVA sur ces dépenses.</w:t>
      </w:r>
    </w:p>
    <w:p w14:paraId="0BF6EBC9" w14:textId="77777777" w:rsidR="00BD4BFD" w:rsidRDefault="00BD4BFD">
      <w:pPr>
        <w:ind w:left="-5" w:right="33"/>
      </w:pPr>
    </w:p>
    <w:p w14:paraId="1AC0267C" w14:textId="77777777" w:rsidR="000C29A6" w:rsidRDefault="000E61B7">
      <w:pPr>
        <w:ind w:left="-5" w:right="33"/>
      </w:pPr>
      <w:r>
        <w:t>En cas de non potentialité de valorisation, les sommes doivent être présentées TT</w:t>
      </w:r>
      <w:r w:rsidR="00CA59ED">
        <w:t xml:space="preserve">C et seront mandatées TTC car </w:t>
      </w:r>
      <w:r>
        <w:t>U</w:t>
      </w:r>
      <w:r w:rsidR="00CA59ED">
        <w:t>B</w:t>
      </w:r>
      <w:r>
        <w:t xml:space="preserve">FC, dans ce cas, ne peut pas récupérer la TVA sur les dépenses. </w:t>
      </w:r>
    </w:p>
    <w:p w14:paraId="589119D1" w14:textId="77777777" w:rsidR="000C29A6" w:rsidRDefault="000C29A6">
      <w:pPr>
        <w:spacing w:after="0" w:line="259" w:lineRule="auto"/>
        <w:ind w:left="0" w:firstLine="0"/>
        <w:jc w:val="left"/>
      </w:pPr>
    </w:p>
    <w:p w14:paraId="51985EA9" w14:textId="77777777" w:rsidR="000C29A6" w:rsidRPr="00BD4BFD" w:rsidRDefault="000E61B7">
      <w:pPr>
        <w:ind w:left="-5" w:right="33"/>
        <w:rPr>
          <w:u w:val="single"/>
        </w:rPr>
      </w:pPr>
      <w:r w:rsidRPr="00BD4BFD">
        <w:rPr>
          <w:u w:val="single"/>
        </w:rPr>
        <w:t>DEPENSES A CHIFFRER HT pour un projet ju</w:t>
      </w:r>
      <w:r w:rsidR="00BD4BFD">
        <w:rPr>
          <w:u w:val="single"/>
        </w:rPr>
        <w:t>gé valorisable (TVA applicable) :</w:t>
      </w:r>
    </w:p>
    <w:p w14:paraId="5D745D46" w14:textId="77777777" w:rsidR="000C29A6" w:rsidRDefault="000E61B7">
      <w:pPr>
        <w:numPr>
          <w:ilvl w:val="0"/>
          <w:numId w:val="2"/>
        </w:numPr>
        <w:ind w:right="33" w:hanging="759"/>
      </w:pPr>
      <w:r>
        <w:t>Equipements</w:t>
      </w:r>
      <w:r w:rsidR="0034211A">
        <w:t> ;</w:t>
      </w:r>
    </w:p>
    <w:p w14:paraId="542B2523" w14:textId="77777777" w:rsidR="000C29A6" w:rsidRDefault="000E61B7">
      <w:pPr>
        <w:numPr>
          <w:ilvl w:val="0"/>
          <w:numId w:val="2"/>
        </w:numPr>
        <w:ind w:right="33" w:hanging="759"/>
      </w:pPr>
      <w:r>
        <w:t>Les prestations de service externes</w:t>
      </w:r>
      <w:r w:rsidR="0034211A">
        <w:t> ;</w:t>
      </w:r>
    </w:p>
    <w:p w14:paraId="163CA056" w14:textId="77777777" w:rsidR="000C29A6" w:rsidRDefault="000E61B7">
      <w:pPr>
        <w:numPr>
          <w:ilvl w:val="0"/>
          <w:numId w:val="2"/>
        </w:numPr>
        <w:ind w:right="33" w:hanging="759"/>
      </w:pPr>
      <w:r>
        <w:t>Les missions donnant lieu à une facturation</w:t>
      </w:r>
      <w:r w:rsidR="0034211A">
        <w:t> ;</w:t>
      </w:r>
    </w:p>
    <w:p w14:paraId="2EDFB6F2" w14:textId="77777777" w:rsidR="000C29A6" w:rsidRDefault="000E61B7">
      <w:pPr>
        <w:numPr>
          <w:ilvl w:val="0"/>
          <w:numId w:val="2"/>
        </w:numPr>
        <w:ind w:right="33" w:hanging="759"/>
      </w:pPr>
      <w:r>
        <w:t>Les autres dépenses externes (fonctionnement)</w:t>
      </w:r>
      <w:r w:rsidR="0034211A">
        <w:t>.</w:t>
      </w:r>
    </w:p>
    <w:p w14:paraId="577A2220" w14:textId="77777777" w:rsidR="000C29A6" w:rsidRDefault="000C29A6">
      <w:pPr>
        <w:spacing w:after="0" w:line="259" w:lineRule="auto"/>
        <w:ind w:left="0" w:firstLine="0"/>
        <w:jc w:val="left"/>
      </w:pPr>
    </w:p>
    <w:p w14:paraId="037C1905" w14:textId="77777777" w:rsidR="000C29A6" w:rsidRPr="00BD4BFD" w:rsidRDefault="000E61B7">
      <w:pPr>
        <w:ind w:left="-5" w:right="33"/>
        <w:rPr>
          <w:u w:val="single"/>
        </w:rPr>
      </w:pPr>
      <w:r w:rsidRPr="00BD4BFD">
        <w:rPr>
          <w:u w:val="single"/>
        </w:rPr>
        <w:t>La TVA n</w:t>
      </w:r>
      <w:r w:rsidR="00BD4BFD" w:rsidRPr="00BD4BFD">
        <w:rPr>
          <w:u w:val="single"/>
        </w:rPr>
        <w:t>’est pas applicable sur :</w:t>
      </w:r>
    </w:p>
    <w:p w14:paraId="4AD87DCD" w14:textId="77777777" w:rsidR="000C29A6" w:rsidRDefault="000E61B7">
      <w:pPr>
        <w:numPr>
          <w:ilvl w:val="0"/>
          <w:numId w:val="2"/>
        </w:numPr>
        <w:ind w:right="33" w:hanging="759"/>
      </w:pPr>
      <w:r>
        <w:t>Les frais de personnel</w:t>
      </w:r>
      <w:r w:rsidR="0034211A">
        <w:t> ;</w:t>
      </w:r>
    </w:p>
    <w:p w14:paraId="6E5F0905" w14:textId="77777777" w:rsidR="000C29A6" w:rsidRDefault="000E61B7">
      <w:pPr>
        <w:numPr>
          <w:ilvl w:val="0"/>
          <w:numId w:val="2"/>
        </w:numPr>
        <w:ind w:right="33" w:hanging="759"/>
      </w:pPr>
      <w:r>
        <w:t>Les frais de mission ne donnant pas lieu à une facturation</w:t>
      </w:r>
      <w:r w:rsidR="0034211A">
        <w:t> ;</w:t>
      </w:r>
    </w:p>
    <w:p w14:paraId="4EEA0611" w14:textId="77777777" w:rsidR="000C29A6" w:rsidRDefault="000E61B7">
      <w:pPr>
        <w:numPr>
          <w:ilvl w:val="0"/>
          <w:numId w:val="2"/>
        </w:numPr>
        <w:ind w:right="33" w:hanging="759"/>
      </w:pPr>
      <w:r>
        <w:t>Les dépe</w:t>
      </w:r>
      <w:r w:rsidR="0034211A">
        <w:t>nses sur facturations internes.</w:t>
      </w:r>
    </w:p>
    <w:p w14:paraId="02F7A0C2" w14:textId="77777777" w:rsidR="000C29A6" w:rsidRDefault="000C29A6">
      <w:pPr>
        <w:spacing w:after="0" w:line="259" w:lineRule="auto"/>
        <w:ind w:left="0" w:firstLine="0"/>
        <w:jc w:val="left"/>
      </w:pPr>
    </w:p>
    <w:sectPr w:rsidR="000C29A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1" w:right="1369" w:bottom="1647" w:left="1416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37DB" w14:textId="77777777" w:rsidR="00E66BE2" w:rsidRDefault="00E66BE2">
      <w:pPr>
        <w:spacing w:after="0" w:line="240" w:lineRule="auto"/>
      </w:pPr>
      <w:r>
        <w:separator/>
      </w:r>
    </w:p>
  </w:endnote>
  <w:endnote w:type="continuationSeparator" w:id="0">
    <w:p w14:paraId="7C2C616D" w14:textId="77777777" w:rsidR="00E66BE2" w:rsidRDefault="00E6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9FFA" w14:textId="77777777" w:rsidR="000C29A6" w:rsidRDefault="000E61B7">
    <w:pPr>
      <w:spacing w:after="335" w:line="259" w:lineRule="auto"/>
      <w:ind w:left="0" w:firstLine="0"/>
      <w:jc w:val="left"/>
    </w:pPr>
    <w:r>
      <w:t xml:space="preserve"> </w:t>
    </w:r>
  </w:p>
  <w:p w14:paraId="18F2F970" w14:textId="77777777" w:rsidR="000C29A6" w:rsidRDefault="000E61B7">
    <w:pPr>
      <w:spacing w:after="0" w:line="259" w:lineRule="auto"/>
      <w:ind w:left="-5" w:right="387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8F0C01" wp14:editId="4BCC55C2">
          <wp:simplePos x="0" y="0"/>
          <wp:positionH relativeFrom="page">
            <wp:posOffset>896112</wp:posOffset>
          </wp:positionH>
          <wp:positionV relativeFrom="page">
            <wp:posOffset>9869425</wp:posOffset>
          </wp:positionV>
          <wp:extent cx="2709672" cy="347472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9672" cy="347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</w:rPr>
      <w:t>1</w:t>
    </w:r>
    <w:r>
      <w:fldChar w:fldCharType="end"/>
    </w:r>
    <w:r>
      <w:t xml:space="preserve"> sur </w:t>
    </w:r>
    <w:r w:rsidR="00E66BE2">
      <w:fldChar w:fldCharType="begin"/>
    </w:r>
    <w:r w:rsidR="00E66BE2">
      <w:instrText xml:space="preserve"> NUMPAGES   \* MERGEFORMAT </w:instrText>
    </w:r>
    <w:r w:rsidR="00E66BE2">
      <w:fldChar w:fldCharType="separate"/>
    </w:r>
    <w:r>
      <w:rPr>
        <w:rFonts w:ascii="Times New Roman" w:hAnsi="Times New Roman"/>
      </w:rPr>
      <w:t>3</w:t>
    </w:r>
    <w:r w:rsidR="00E66BE2">
      <w:rPr>
        <w:rFonts w:ascii="Times New Roman" w:hAnsi="Times New Roman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FBD6" w14:textId="77777777" w:rsidR="00EB23AD" w:rsidRPr="00EB23AD" w:rsidRDefault="00EB23AD" w:rsidP="00EB23AD">
    <w:pPr>
      <w:spacing w:after="0" w:line="240" w:lineRule="auto"/>
      <w:ind w:left="0" w:firstLine="0"/>
      <w:jc w:val="center"/>
      <w:rPr>
        <w:sz w:val="16"/>
        <w:szCs w:val="16"/>
      </w:rPr>
    </w:pPr>
    <w:r w:rsidRPr="00EB23AD">
      <w:rPr>
        <w:sz w:val="16"/>
        <w:szCs w:val="16"/>
      </w:rPr>
      <w:t>COMUE Université de Bourgogne-Franche-Comté - Direction des Affaires Financières</w:t>
    </w:r>
  </w:p>
  <w:p w14:paraId="583DFEEE" w14:textId="77777777" w:rsidR="00EB23AD" w:rsidRPr="00EB23AD" w:rsidRDefault="00EB23AD" w:rsidP="00EB23AD">
    <w:pPr>
      <w:spacing w:after="0" w:line="240" w:lineRule="auto"/>
      <w:ind w:left="0" w:firstLine="0"/>
      <w:jc w:val="center"/>
      <w:rPr>
        <w:sz w:val="16"/>
        <w:szCs w:val="16"/>
      </w:rPr>
    </w:pPr>
    <w:r w:rsidRPr="00EB23AD">
      <w:rPr>
        <w:sz w:val="16"/>
        <w:szCs w:val="16"/>
      </w:rPr>
      <w:t xml:space="preserve">32 avenue de l’observatoire 25000 Besançon France Courriel : </w:t>
    </w:r>
    <w:hyperlink r:id="rId1" w:history="1">
      <w:r w:rsidRPr="00EB23AD">
        <w:rPr>
          <w:rStyle w:val="Lienhypertexte"/>
          <w:sz w:val="16"/>
          <w:szCs w:val="16"/>
        </w:rPr>
        <w:t>finances@ubfc.fr</w:t>
      </w:r>
    </w:hyperlink>
    <w:r w:rsidRPr="00EB23AD">
      <w:rPr>
        <w:sz w:val="16"/>
        <w:szCs w:val="16"/>
      </w:rPr>
      <w:t xml:space="preserve"> Web : </w:t>
    </w:r>
    <w:hyperlink r:id="rId2" w:history="1">
      <w:r w:rsidRPr="002F7746">
        <w:rPr>
          <w:rStyle w:val="Lienhypertexte"/>
          <w:sz w:val="16"/>
          <w:szCs w:val="16"/>
        </w:rPr>
        <w:t>www.ubfc.fr</w:t>
      </w:r>
    </w:hyperlink>
    <w:r>
      <w:rPr>
        <w:sz w:val="16"/>
        <w:szCs w:val="16"/>
      </w:rPr>
      <w:t xml:space="preserve"> </w:t>
    </w:r>
  </w:p>
  <w:p w14:paraId="5D69E785" w14:textId="77777777" w:rsidR="000C29A6" w:rsidRPr="00EB23AD" w:rsidRDefault="000E61B7" w:rsidP="00EB23AD">
    <w:pPr>
      <w:spacing w:after="0" w:line="240" w:lineRule="auto"/>
      <w:ind w:left="3540" w:right="3879" w:firstLine="0"/>
      <w:jc w:val="center"/>
      <w:rPr>
        <w:sz w:val="16"/>
        <w:szCs w:val="16"/>
      </w:rPr>
    </w:pPr>
    <w:r w:rsidRPr="00EB23AD">
      <w:rPr>
        <w:sz w:val="16"/>
        <w:szCs w:val="16"/>
      </w:rPr>
      <w:t xml:space="preserve">Page </w:t>
    </w:r>
    <w:r w:rsidRPr="00EB23AD">
      <w:rPr>
        <w:sz w:val="16"/>
        <w:szCs w:val="16"/>
      </w:rPr>
      <w:fldChar w:fldCharType="begin"/>
    </w:r>
    <w:r w:rsidRPr="00EB23AD">
      <w:rPr>
        <w:sz w:val="16"/>
        <w:szCs w:val="16"/>
      </w:rPr>
      <w:instrText xml:space="preserve"> PAGE   \* MERGEFORMAT </w:instrText>
    </w:r>
    <w:r w:rsidRPr="00EB23AD">
      <w:rPr>
        <w:sz w:val="16"/>
        <w:szCs w:val="16"/>
      </w:rPr>
      <w:fldChar w:fldCharType="separate"/>
    </w:r>
    <w:r w:rsidR="005E72C3">
      <w:rPr>
        <w:noProof/>
        <w:sz w:val="16"/>
        <w:szCs w:val="16"/>
      </w:rPr>
      <w:t>2</w:t>
    </w:r>
    <w:r w:rsidRPr="00EB23AD">
      <w:rPr>
        <w:sz w:val="16"/>
        <w:szCs w:val="16"/>
      </w:rPr>
      <w:fldChar w:fldCharType="end"/>
    </w:r>
    <w:r w:rsidRPr="00EB23AD">
      <w:rPr>
        <w:sz w:val="16"/>
        <w:szCs w:val="16"/>
      </w:rPr>
      <w:t xml:space="preserve"> sur </w:t>
    </w:r>
    <w:r w:rsidRPr="00EB23AD">
      <w:rPr>
        <w:sz w:val="16"/>
        <w:szCs w:val="16"/>
      </w:rPr>
      <w:fldChar w:fldCharType="begin"/>
    </w:r>
    <w:r w:rsidRPr="00EB23AD">
      <w:rPr>
        <w:sz w:val="16"/>
        <w:szCs w:val="16"/>
      </w:rPr>
      <w:instrText xml:space="preserve"> NUMPAGES   \* MERGEFORMAT </w:instrText>
    </w:r>
    <w:r w:rsidRPr="00EB23AD">
      <w:rPr>
        <w:sz w:val="16"/>
        <w:szCs w:val="16"/>
      </w:rPr>
      <w:fldChar w:fldCharType="separate"/>
    </w:r>
    <w:r w:rsidR="005E72C3">
      <w:rPr>
        <w:noProof/>
        <w:sz w:val="16"/>
        <w:szCs w:val="16"/>
      </w:rPr>
      <w:t>4</w:t>
    </w:r>
    <w:r w:rsidRPr="00EB23AD">
      <w:rPr>
        <w:sz w:val="16"/>
        <w:szCs w:val="16"/>
      </w:rPr>
      <w:fldChar w:fldCharType="end"/>
    </w:r>
    <w:r w:rsidRPr="00EB23AD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8DB1" w14:textId="77777777" w:rsidR="000C29A6" w:rsidRDefault="000E61B7">
    <w:pPr>
      <w:spacing w:after="335" w:line="259" w:lineRule="auto"/>
      <w:ind w:left="0" w:firstLine="0"/>
      <w:jc w:val="left"/>
    </w:pPr>
    <w:r>
      <w:t xml:space="preserve"> </w:t>
    </w:r>
  </w:p>
  <w:p w14:paraId="2F03862F" w14:textId="77777777" w:rsidR="000C29A6" w:rsidRDefault="000E61B7">
    <w:pPr>
      <w:spacing w:after="0" w:line="259" w:lineRule="auto"/>
      <w:ind w:left="-5" w:right="3879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902D3AE" wp14:editId="7C7FC31A">
          <wp:simplePos x="0" y="0"/>
          <wp:positionH relativeFrom="page">
            <wp:posOffset>896112</wp:posOffset>
          </wp:positionH>
          <wp:positionV relativeFrom="page">
            <wp:posOffset>9869425</wp:posOffset>
          </wp:positionV>
          <wp:extent cx="2709672" cy="347472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9672" cy="347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</w:rPr>
      <w:t>1</w:t>
    </w:r>
    <w:r>
      <w:fldChar w:fldCharType="end"/>
    </w:r>
    <w:r>
      <w:t xml:space="preserve"> sur </w:t>
    </w:r>
    <w:r w:rsidR="00E66BE2">
      <w:fldChar w:fldCharType="begin"/>
    </w:r>
    <w:r w:rsidR="00E66BE2">
      <w:instrText xml:space="preserve"> NUMPAGES   \* MERGEFORMAT </w:instrText>
    </w:r>
    <w:r w:rsidR="00E66BE2">
      <w:fldChar w:fldCharType="separate"/>
    </w:r>
    <w:r>
      <w:rPr>
        <w:rFonts w:ascii="Times New Roman" w:hAnsi="Times New Roman"/>
      </w:rPr>
      <w:t>3</w:t>
    </w:r>
    <w:r w:rsidR="00E66BE2">
      <w:rPr>
        <w:rFonts w:ascii="Times New Roman" w:hAnsi="Times New Roman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99EB" w14:textId="77777777" w:rsidR="00E66BE2" w:rsidRDefault="00E66BE2">
      <w:pPr>
        <w:spacing w:after="0" w:line="240" w:lineRule="auto"/>
      </w:pPr>
      <w:r>
        <w:separator/>
      </w:r>
    </w:p>
  </w:footnote>
  <w:footnote w:type="continuationSeparator" w:id="0">
    <w:p w14:paraId="13575003" w14:textId="77777777" w:rsidR="00E66BE2" w:rsidRDefault="00E6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3E3A" w14:textId="77777777" w:rsidR="00CA59ED" w:rsidRDefault="00BD4BFD">
    <w:pPr>
      <w:pStyle w:val="En-tte"/>
    </w:pPr>
    <w:r>
      <w:rPr>
        <w:noProof/>
      </w:rPr>
      <w:drawing>
        <wp:inline distT="0" distB="0" distL="0" distR="0" wp14:anchorId="37241601" wp14:editId="7E6CF8BB">
          <wp:extent cx="5791835" cy="452638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452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3088B"/>
    <w:multiLevelType w:val="hybridMultilevel"/>
    <w:tmpl w:val="F88EF9B0"/>
    <w:lvl w:ilvl="0" w:tplc="975E8E2A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88242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06BEF5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F8E03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0860B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6384C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DDB64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76C18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8BBE99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FB5021"/>
    <w:multiLevelType w:val="hybridMultilevel"/>
    <w:tmpl w:val="9FF4FF68"/>
    <w:lvl w:ilvl="0" w:tplc="F4202DE6">
      <w:start w:val="1"/>
      <w:numFmt w:val="bullet"/>
      <w:lvlText w:val="-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CA7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0D9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22C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DA5D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64E9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E65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4E6E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FC11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0E67FE"/>
    <w:multiLevelType w:val="hybridMultilevel"/>
    <w:tmpl w:val="98206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75D8C"/>
    <w:multiLevelType w:val="hybridMultilevel"/>
    <w:tmpl w:val="11AA24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A6"/>
    <w:rsid w:val="00053899"/>
    <w:rsid w:val="00067874"/>
    <w:rsid w:val="000C29A6"/>
    <w:rsid w:val="000E61B7"/>
    <w:rsid w:val="00301230"/>
    <w:rsid w:val="0034211A"/>
    <w:rsid w:val="005E72C3"/>
    <w:rsid w:val="00615EDD"/>
    <w:rsid w:val="0063602B"/>
    <w:rsid w:val="006E5F48"/>
    <w:rsid w:val="009F2C5D"/>
    <w:rsid w:val="00A60330"/>
    <w:rsid w:val="00AC5F9D"/>
    <w:rsid w:val="00BD4BFD"/>
    <w:rsid w:val="00CA59ED"/>
    <w:rsid w:val="00CF2D88"/>
    <w:rsid w:val="00E66BE2"/>
    <w:rsid w:val="00EB23AD"/>
    <w:rsid w:val="00F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F075E"/>
  <w15:docId w15:val="{AB025027-0256-4871-A265-353C411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5D"/>
    <w:pPr>
      <w:spacing w:after="5" w:line="248" w:lineRule="auto"/>
      <w:ind w:left="10" w:hanging="10"/>
      <w:jc w:val="both"/>
    </w:pPr>
    <w:rPr>
      <w:rFonts w:ascii="Arial" w:eastAsia="Times New Roman" w:hAnsi="Arial" w:cs="Times New Roman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right="5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0"/>
    </w:rPr>
  </w:style>
  <w:style w:type="paragraph" w:styleId="En-tte">
    <w:name w:val="header"/>
    <w:basedOn w:val="Normal"/>
    <w:link w:val="En-tteCar"/>
    <w:uiPriority w:val="99"/>
    <w:unhideWhenUsed/>
    <w:rsid w:val="00CA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59ED"/>
    <w:rPr>
      <w:rFonts w:ascii="Times New Roman" w:eastAsia="Times New Roman" w:hAnsi="Times New Roman" w:cs="Times New Roman"/>
      <w:color w:val="000000"/>
      <w:sz w:val="20"/>
    </w:rPr>
  </w:style>
  <w:style w:type="character" w:styleId="Lienhypertexte">
    <w:name w:val="Hyperlink"/>
    <w:basedOn w:val="Policepardfaut"/>
    <w:uiPriority w:val="99"/>
    <w:unhideWhenUsed/>
    <w:rsid w:val="00BD4BF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F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fc.fr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bfc.fr" TargetMode="External"/><Relationship Id="rId1" Type="http://schemas.openxmlformats.org/officeDocument/2006/relationships/hyperlink" Target="mailto:finances@ubfc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SAIC_modele_fiche_detection_potentiel_valorisable</vt:lpstr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SAIC_modele_fiche_detection_potentiel_valorisable</dc:title>
  <dc:subject/>
  <dc:creator>enoirjea</dc:creator>
  <cp:keywords/>
  <cp:lastModifiedBy>Laurent Philippot</cp:lastModifiedBy>
  <cp:revision>2</cp:revision>
  <dcterms:created xsi:type="dcterms:W3CDTF">2024-06-23T11:12:00Z</dcterms:created>
  <dcterms:modified xsi:type="dcterms:W3CDTF">2024-06-23T11:12:00Z</dcterms:modified>
</cp:coreProperties>
</file>